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013C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013CE">
        <w:rPr>
          <w:rFonts w:ascii="IranNastaliq" w:hAnsi="IranNastaliq" w:cs="IranNastaliq" w:hint="cs"/>
          <w:rtl/>
          <w:lang w:bidi="fa-IR"/>
        </w:rPr>
        <w:t>کویرشناسی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 سال تحصیلی </w:t>
      </w:r>
      <w:r w:rsidR="009013CE">
        <w:rPr>
          <w:rFonts w:ascii="IranNastaliq" w:hAnsi="IranNastaliq" w:cs="B Lotus" w:hint="cs"/>
          <w:sz w:val="28"/>
          <w:szCs w:val="28"/>
          <w:rtl/>
          <w:lang w:bidi="fa-IR"/>
        </w:rPr>
        <w:t>1402</w:t>
      </w:r>
      <w:bookmarkStart w:id="0" w:name="_GoBack"/>
      <w:bookmarkEnd w:id="0"/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9013CE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013C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013C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013C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013CE">
              <w:rPr>
                <w:rFonts w:cs="B Nazanin" w:hint="cs"/>
                <w:sz w:val="24"/>
                <w:szCs w:val="24"/>
                <w:rtl/>
              </w:rPr>
              <w:t>ارزیابی و مدیریت پوشش گیاهی مناطق بیابانی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013C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9013C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013CE" w:rsidRPr="00521F7B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9013CE" w:rsidRPr="00521F7B">
              <w:rPr>
                <w:rFonts w:asciiTheme="majorBidi" w:hAnsiTheme="majorBidi" w:cstheme="majorBidi"/>
                <w:lang w:bidi="fa-IR"/>
              </w:rPr>
              <w:t>a.sadeghipour@semnan.ac.ir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013C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نحوه مدیریت پوشش گیاهی مناطق خشک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013C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530" w:type="dxa"/>
          </w:tcPr>
          <w:p w:rsidR="007A6B1B" w:rsidRPr="00FE7024" w:rsidRDefault="009013C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9013C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9013CE" w:rsidP="009013CE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ژیومرفولوژی کاربردی، جلد 1، دکتر حسن احمدی</w:t>
            </w:r>
          </w:p>
          <w:p w:rsidR="00C1549F" w:rsidRDefault="009013CE" w:rsidP="009013CE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ژی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ومرفولوژی کاربردی، جلد 2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دکتر حسن احمدی</w:t>
            </w:r>
          </w:p>
          <w:p w:rsidR="009013CE" w:rsidRPr="004B094A" w:rsidRDefault="009013CE" w:rsidP="009013C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مدیریت جنگلهای دست کاشت مناطق خشک، دکتر سید عطا رضایی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9013CE" w:rsidTr="00446C6C">
        <w:trPr>
          <w:trHeight w:val="152"/>
          <w:jc w:val="center"/>
        </w:trPr>
        <w:tc>
          <w:tcPr>
            <w:tcW w:w="1975" w:type="dxa"/>
          </w:tcPr>
          <w:p w:rsidR="009013CE" w:rsidRPr="00FE7024" w:rsidRDefault="009013CE" w:rsidP="009013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013CE" w:rsidRPr="00D63174" w:rsidRDefault="009013CE" w:rsidP="009013C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تعریف و طبقه بندی مناطق خشک و بیابانی</w:t>
            </w:r>
          </w:p>
        </w:tc>
        <w:tc>
          <w:tcPr>
            <w:tcW w:w="1078" w:type="dxa"/>
          </w:tcPr>
          <w:p w:rsidR="009013CE" w:rsidRPr="00E32E53" w:rsidRDefault="009013CE" w:rsidP="009013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013CE" w:rsidTr="00446C6C">
        <w:trPr>
          <w:trHeight w:val="89"/>
          <w:jc w:val="center"/>
        </w:trPr>
        <w:tc>
          <w:tcPr>
            <w:tcW w:w="1975" w:type="dxa"/>
          </w:tcPr>
          <w:p w:rsidR="009013CE" w:rsidRPr="00FE7024" w:rsidRDefault="009013CE" w:rsidP="009013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013CE" w:rsidRPr="00D63174" w:rsidRDefault="009013CE" w:rsidP="009013C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خصوصیات اقلیمی، ادافیکی و فیزیوگرافیک مناطق بیابانی</w:t>
            </w:r>
          </w:p>
        </w:tc>
        <w:tc>
          <w:tcPr>
            <w:tcW w:w="1078" w:type="dxa"/>
          </w:tcPr>
          <w:p w:rsidR="009013CE" w:rsidRPr="00E32E53" w:rsidRDefault="009013CE" w:rsidP="009013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013CE" w:rsidTr="00446C6C">
        <w:trPr>
          <w:trHeight w:val="197"/>
          <w:jc w:val="center"/>
        </w:trPr>
        <w:tc>
          <w:tcPr>
            <w:tcW w:w="1975" w:type="dxa"/>
          </w:tcPr>
          <w:p w:rsidR="009013CE" w:rsidRPr="00FE7024" w:rsidRDefault="009013CE" w:rsidP="009013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013CE" w:rsidRPr="00D63174" w:rsidRDefault="009013CE" w:rsidP="009013C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اثرات ویژکیهای اکولوژیک مناطق خشک بر پوشش گیاهی</w:t>
            </w:r>
          </w:p>
        </w:tc>
        <w:tc>
          <w:tcPr>
            <w:tcW w:w="1078" w:type="dxa"/>
          </w:tcPr>
          <w:p w:rsidR="009013CE" w:rsidRPr="00E32E53" w:rsidRDefault="009013CE" w:rsidP="009013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013CE" w:rsidTr="00446C6C">
        <w:trPr>
          <w:trHeight w:val="206"/>
          <w:jc w:val="center"/>
        </w:trPr>
        <w:tc>
          <w:tcPr>
            <w:tcW w:w="1975" w:type="dxa"/>
          </w:tcPr>
          <w:p w:rsidR="009013CE" w:rsidRPr="00FE7024" w:rsidRDefault="009013CE" w:rsidP="009013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013CE" w:rsidRPr="00D63174" w:rsidRDefault="009013CE" w:rsidP="009013C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جوامع گیاهی مناطق بیابانی</w:t>
            </w:r>
          </w:p>
        </w:tc>
        <w:tc>
          <w:tcPr>
            <w:tcW w:w="1078" w:type="dxa"/>
          </w:tcPr>
          <w:p w:rsidR="009013CE" w:rsidRPr="00E32E53" w:rsidRDefault="009013CE" w:rsidP="009013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013CE" w:rsidTr="00446C6C">
        <w:trPr>
          <w:trHeight w:val="215"/>
          <w:jc w:val="center"/>
        </w:trPr>
        <w:tc>
          <w:tcPr>
            <w:tcW w:w="1975" w:type="dxa"/>
          </w:tcPr>
          <w:p w:rsidR="009013CE" w:rsidRPr="00FE7024" w:rsidRDefault="009013CE" w:rsidP="009013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013CE" w:rsidRPr="00D63174" w:rsidRDefault="009013CE" w:rsidP="009013CE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بهره برداری از زمین در مناطق خشک</w:t>
            </w:r>
          </w:p>
        </w:tc>
        <w:tc>
          <w:tcPr>
            <w:tcW w:w="1078" w:type="dxa"/>
          </w:tcPr>
          <w:p w:rsidR="009013CE" w:rsidRPr="00E32E53" w:rsidRDefault="009013CE" w:rsidP="009013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013CE" w:rsidTr="00446C6C">
        <w:trPr>
          <w:trHeight w:val="242"/>
          <w:jc w:val="center"/>
        </w:trPr>
        <w:tc>
          <w:tcPr>
            <w:tcW w:w="1975" w:type="dxa"/>
          </w:tcPr>
          <w:p w:rsidR="009013CE" w:rsidRPr="00FE7024" w:rsidRDefault="009013CE" w:rsidP="009013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013CE" w:rsidRPr="00D63174" w:rsidRDefault="009013CE" w:rsidP="009013C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اکولوژی، فیزیولوژی و فنولوژی تاغ به عنوان پرکاربردترین گیاه در توسعه جنگلهای دست کاشت مناطق خشک و بیابانی</w:t>
            </w:r>
          </w:p>
        </w:tc>
        <w:tc>
          <w:tcPr>
            <w:tcW w:w="1078" w:type="dxa"/>
          </w:tcPr>
          <w:p w:rsidR="009013CE" w:rsidRPr="00E32E53" w:rsidRDefault="009013CE" w:rsidP="009013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013CE" w:rsidTr="00446C6C">
        <w:trPr>
          <w:trHeight w:val="251"/>
          <w:jc w:val="center"/>
        </w:trPr>
        <w:tc>
          <w:tcPr>
            <w:tcW w:w="1975" w:type="dxa"/>
          </w:tcPr>
          <w:p w:rsidR="009013CE" w:rsidRPr="00FE7024" w:rsidRDefault="009013CE" w:rsidP="009013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013CE" w:rsidRPr="00D63174" w:rsidRDefault="009013CE" w:rsidP="009013C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وضعیت تاغزارهای ایران و مدیریت پرورشی آنها</w:t>
            </w:r>
          </w:p>
        </w:tc>
        <w:tc>
          <w:tcPr>
            <w:tcW w:w="1078" w:type="dxa"/>
          </w:tcPr>
          <w:p w:rsidR="009013CE" w:rsidRPr="00E32E53" w:rsidRDefault="009013CE" w:rsidP="009013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013CE" w:rsidTr="00446C6C">
        <w:trPr>
          <w:trHeight w:val="197"/>
          <w:jc w:val="center"/>
        </w:trPr>
        <w:tc>
          <w:tcPr>
            <w:tcW w:w="1975" w:type="dxa"/>
          </w:tcPr>
          <w:p w:rsidR="009013CE" w:rsidRPr="00FE7024" w:rsidRDefault="009013CE" w:rsidP="009013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013CE" w:rsidRPr="00D63174" w:rsidRDefault="009013CE" w:rsidP="009013C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پرورشی تاغزارها</w:t>
            </w:r>
          </w:p>
        </w:tc>
        <w:tc>
          <w:tcPr>
            <w:tcW w:w="1078" w:type="dxa"/>
          </w:tcPr>
          <w:p w:rsidR="009013CE" w:rsidRPr="00E32E53" w:rsidRDefault="009013CE" w:rsidP="009013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013CE" w:rsidTr="00446C6C">
        <w:trPr>
          <w:trHeight w:val="188"/>
          <w:jc w:val="center"/>
        </w:trPr>
        <w:tc>
          <w:tcPr>
            <w:tcW w:w="1975" w:type="dxa"/>
          </w:tcPr>
          <w:p w:rsidR="009013CE" w:rsidRPr="00FE7024" w:rsidRDefault="009013CE" w:rsidP="009013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013CE" w:rsidRPr="00D63174" w:rsidRDefault="009013CE" w:rsidP="009013C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اثر تاغ و انواع مدیریت بر شرایط بوم شناختی مناطق خشک</w:t>
            </w:r>
          </w:p>
        </w:tc>
        <w:tc>
          <w:tcPr>
            <w:tcW w:w="1078" w:type="dxa"/>
          </w:tcPr>
          <w:p w:rsidR="009013CE" w:rsidRPr="00E32E53" w:rsidRDefault="009013CE" w:rsidP="009013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013CE" w:rsidTr="00446C6C">
        <w:trPr>
          <w:trHeight w:val="206"/>
          <w:jc w:val="center"/>
        </w:trPr>
        <w:tc>
          <w:tcPr>
            <w:tcW w:w="1975" w:type="dxa"/>
          </w:tcPr>
          <w:p w:rsidR="009013CE" w:rsidRPr="00FE7024" w:rsidRDefault="009013CE" w:rsidP="009013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013CE" w:rsidRPr="00D63174" w:rsidRDefault="009013CE" w:rsidP="009013C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نقش عوامل طبیعی و انسانی در تخریب یا بهبود وضعیت تاغزارها</w:t>
            </w:r>
          </w:p>
        </w:tc>
        <w:tc>
          <w:tcPr>
            <w:tcW w:w="1078" w:type="dxa"/>
          </w:tcPr>
          <w:p w:rsidR="009013CE" w:rsidRPr="00E32E53" w:rsidRDefault="009013CE" w:rsidP="009013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013CE" w:rsidTr="00446C6C">
        <w:trPr>
          <w:trHeight w:val="224"/>
          <w:jc w:val="center"/>
        </w:trPr>
        <w:tc>
          <w:tcPr>
            <w:tcW w:w="1975" w:type="dxa"/>
          </w:tcPr>
          <w:p w:rsidR="009013CE" w:rsidRPr="00FE7024" w:rsidRDefault="009013CE" w:rsidP="009013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013CE" w:rsidRPr="00D63174" w:rsidRDefault="009013CE" w:rsidP="009013C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غنی سازی، جایگزینی گونه های گیاهی با توجه به مرحله توالی اکولوژیک منطقه</w:t>
            </w:r>
          </w:p>
        </w:tc>
        <w:tc>
          <w:tcPr>
            <w:tcW w:w="1078" w:type="dxa"/>
          </w:tcPr>
          <w:p w:rsidR="009013CE" w:rsidRPr="00E32E53" w:rsidRDefault="009013CE" w:rsidP="009013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013CE" w:rsidTr="00446C6C">
        <w:trPr>
          <w:trHeight w:val="233"/>
          <w:jc w:val="center"/>
        </w:trPr>
        <w:tc>
          <w:tcPr>
            <w:tcW w:w="1975" w:type="dxa"/>
          </w:tcPr>
          <w:p w:rsidR="009013CE" w:rsidRPr="00FE7024" w:rsidRDefault="009013CE" w:rsidP="009013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013CE" w:rsidRPr="00D63174" w:rsidRDefault="009013CE" w:rsidP="009013C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استفاده از پوشش گیاهی جهت تثبیت تپه های ماسه ای، کنترل فرسایش بادی، حفاظت راهها و ... </w:t>
            </w:r>
          </w:p>
        </w:tc>
        <w:tc>
          <w:tcPr>
            <w:tcW w:w="1078" w:type="dxa"/>
          </w:tcPr>
          <w:p w:rsidR="009013CE" w:rsidRPr="00E32E53" w:rsidRDefault="009013CE" w:rsidP="009013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013CE" w:rsidTr="00446C6C">
        <w:trPr>
          <w:trHeight w:val="71"/>
          <w:jc w:val="center"/>
        </w:trPr>
        <w:tc>
          <w:tcPr>
            <w:tcW w:w="1975" w:type="dxa"/>
          </w:tcPr>
          <w:p w:rsidR="009013CE" w:rsidRPr="00FE7024" w:rsidRDefault="009013CE" w:rsidP="009013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013CE" w:rsidRPr="00D63174" w:rsidRDefault="009013CE" w:rsidP="009013C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احیاء بیولوژیک مناطق خشک با استفاده از هالوفیتها</w:t>
            </w:r>
          </w:p>
        </w:tc>
        <w:tc>
          <w:tcPr>
            <w:tcW w:w="1078" w:type="dxa"/>
          </w:tcPr>
          <w:p w:rsidR="009013CE" w:rsidRPr="00E32E53" w:rsidRDefault="009013CE" w:rsidP="009013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013CE" w:rsidTr="00446C6C">
        <w:trPr>
          <w:trHeight w:val="269"/>
          <w:jc w:val="center"/>
        </w:trPr>
        <w:tc>
          <w:tcPr>
            <w:tcW w:w="1975" w:type="dxa"/>
          </w:tcPr>
          <w:p w:rsidR="009013CE" w:rsidRPr="00FE7024" w:rsidRDefault="009013CE" w:rsidP="009013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013CE" w:rsidRPr="00D63174" w:rsidRDefault="009013CE" w:rsidP="009013C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جوامع محلی و طرحهای مشارکتی در ایجاد، مدیریت و بهره برداری از پوشش گیاهی مناطق خشک</w:t>
            </w:r>
          </w:p>
        </w:tc>
        <w:tc>
          <w:tcPr>
            <w:tcW w:w="1078" w:type="dxa"/>
          </w:tcPr>
          <w:p w:rsidR="009013CE" w:rsidRPr="00E32E53" w:rsidRDefault="009013CE" w:rsidP="009013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013CE" w:rsidTr="00446C6C">
        <w:trPr>
          <w:trHeight w:val="197"/>
          <w:jc w:val="center"/>
        </w:trPr>
        <w:tc>
          <w:tcPr>
            <w:tcW w:w="1975" w:type="dxa"/>
          </w:tcPr>
          <w:p w:rsidR="009013CE" w:rsidRPr="00FE7024" w:rsidRDefault="009013CE" w:rsidP="009013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013CE" w:rsidRPr="00D63174" w:rsidRDefault="009013CE" w:rsidP="009013C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ترسیب کربن در مناطق خشک و بیابانی، استفاده چند منظوره از پوشش گیاهی</w:t>
            </w:r>
          </w:p>
        </w:tc>
        <w:tc>
          <w:tcPr>
            <w:tcW w:w="1078" w:type="dxa"/>
          </w:tcPr>
          <w:p w:rsidR="009013CE" w:rsidRPr="00E32E53" w:rsidRDefault="009013CE" w:rsidP="009013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013CE" w:rsidTr="00446C6C">
        <w:trPr>
          <w:trHeight w:val="206"/>
          <w:jc w:val="center"/>
        </w:trPr>
        <w:tc>
          <w:tcPr>
            <w:tcW w:w="1975" w:type="dxa"/>
          </w:tcPr>
          <w:p w:rsidR="009013CE" w:rsidRPr="00FE7024" w:rsidRDefault="009013CE" w:rsidP="009013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013CE" w:rsidRPr="00D63174" w:rsidRDefault="009013CE" w:rsidP="009013C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اگروفارستری، گیاهان مناسب در احیاء مناطق خشک</w:t>
            </w:r>
          </w:p>
        </w:tc>
        <w:tc>
          <w:tcPr>
            <w:tcW w:w="1078" w:type="dxa"/>
          </w:tcPr>
          <w:p w:rsidR="009013CE" w:rsidRPr="00E32E53" w:rsidRDefault="009013CE" w:rsidP="009013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9013C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71B" w:rsidRDefault="007C571B" w:rsidP="0007479E">
      <w:pPr>
        <w:spacing w:after="0" w:line="240" w:lineRule="auto"/>
      </w:pPr>
      <w:r>
        <w:separator/>
      </w:r>
    </w:p>
  </w:endnote>
  <w:endnote w:type="continuationSeparator" w:id="0">
    <w:p w:rsidR="007C571B" w:rsidRDefault="007C571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71B" w:rsidRDefault="007C571B" w:rsidP="0007479E">
      <w:pPr>
        <w:spacing w:after="0" w:line="240" w:lineRule="auto"/>
      </w:pPr>
      <w:r>
        <w:separator/>
      </w:r>
    </w:p>
  </w:footnote>
  <w:footnote w:type="continuationSeparator" w:id="0">
    <w:p w:rsidR="007C571B" w:rsidRDefault="007C571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7C571B"/>
    <w:rsid w:val="00891C14"/>
    <w:rsid w:val="008D2DEA"/>
    <w:rsid w:val="009013CE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3025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Admin</cp:lastModifiedBy>
  <cp:revision>2</cp:revision>
  <cp:lastPrinted>2018-12-27T12:18:00Z</cp:lastPrinted>
  <dcterms:created xsi:type="dcterms:W3CDTF">2024-06-12T08:44:00Z</dcterms:created>
  <dcterms:modified xsi:type="dcterms:W3CDTF">2024-06-12T08:44:00Z</dcterms:modified>
</cp:coreProperties>
</file>